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59" w:rsidRPr="005C48C9" w:rsidRDefault="00142959" w:rsidP="00142959">
      <w:pPr>
        <w:spacing w:after="720"/>
        <w:jc w:val="center"/>
        <w:rPr>
          <w:b/>
          <w:color w:val="auto"/>
          <w:sz w:val="36"/>
          <w:lang w:val="fr-BE"/>
        </w:rPr>
      </w:pPr>
      <w:r w:rsidRPr="005C48C9">
        <w:rPr>
          <w:b/>
          <w:color w:val="auto"/>
          <w:sz w:val="36"/>
          <w:lang w:val="fr-BE"/>
        </w:rPr>
        <w:t>Instructions à l'attention du pouvoir adjudicateur pour compléter l'avis de marché</w:t>
      </w:r>
    </w:p>
    <w:p w:rsidR="00142959" w:rsidRPr="005C48C9" w:rsidRDefault="00142959" w:rsidP="00142959">
      <w:pPr>
        <w:spacing w:after="240"/>
        <w:ind w:left="360"/>
        <w:jc w:val="both"/>
        <w:rPr>
          <w:color w:val="auto"/>
          <w:sz w:val="22"/>
          <w:lang w:val="fr-BE"/>
        </w:rPr>
      </w:pPr>
      <w:r w:rsidRPr="005C48C9">
        <w:rPr>
          <w:color w:val="auto"/>
          <w:sz w:val="22"/>
          <w:lang w:val="fr-BE"/>
        </w:rPr>
        <w:t>Les mentions en italique constituent des indications ou des recommandations qui ne doivent pas être reprises telles quelles dans l’avis de marché.</w:t>
      </w:r>
    </w:p>
    <w:p w:rsidR="00142959" w:rsidRPr="005C48C9" w:rsidRDefault="00142959" w:rsidP="00142959">
      <w:pPr>
        <w:spacing w:after="240"/>
        <w:ind w:left="360"/>
        <w:jc w:val="both"/>
        <w:rPr>
          <w:color w:val="auto"/>
          <w:sz w:val="22"/>
          <w:lang w:val="fr-BE"/>
        </w:rPr>
      </w:pPr>
      <w:r w:rsidRPr="005C48C9">
        <w:rPr>
          <w:color w:val="auto"/>
          <w:sz w:val="22"/>
          <w:lang w:val="fr-BE"/>
        </w:rPr>
        <w:t>Le présent document suit la nomenclature du modèle d’avis de marché figurant à l’annexe 2.B de l’arrêté royal du 15 juillet 2011.</w:t>
      </w:r>
    </w:p>
    <w:p w:rsidR="00142959" w:rsidRPr="005C48C9" w:rsidRDefault="00142959" w:rsidP="00142959">
      <w:pPr>
        <w:numPr>
          <w:ilvl w:val="0"/>
          <w:numId w:val="2"/>
        </w:numPr>
        <w:spacing w:after="240"/>
        <w:jc w:val="both"/>
        <w:rPr>
          <w:b/>
          <w:color w:val="auto"/>
          <w:sz w:val="22"/>
          <w:lang w:val="fr-BE"/>
        </w:rPr>
      </w:pPr>
      <w:r w:rsidRPr="005C48C9">
        <w:rPr>
          <w:b/>
          <w:color w:val="auto"/>
          <w:sz w:val="22"/>
          <w:lang w:val="fr-BE"/>
        </w:rPr>
        <w:t>III.2.) CONDITIONS DE PARTICIPATION</w:t>
      </w:r>
    </w:p>
    <w:p w:rsidR="00142959" w:rsidRPr="005C48C9" w:rsidRDefault="00142959" w:rsidP="00142959">
      <w:pPr>
        <w:numPr>
          <w:ilvl w:val="0"/>
          <w:numId w:val="2"/>
        </w:numPr>
        <w:spacing w:after="240"/>
        <w:jc w:val="both"/>
        <w:rPr>
          <w:b/>
          <w:color w:val="auto"/>
          <w:sz w:val="22"/>
          <w:lang w:val="fr-BE"/>
        </w:rPr>
      </w:pPr>
      <w:r w:rsidRPr="005C48C9">
        <w:rPr>
          <w:b/>
          <w:color w:val="auto"/>
          <w:sz w:val="22"/>
          <w:lang w:val="fr-BE"/>
        </w:rPr>
        <w:t xml:space="preserve">III.2.1) situation propre des opérateurs économiques, y compris exigences relatives à l’inscription au registre du commerce ou de la profession </w:t>
      </w:r>
    </w:p>
    <w:p w:rsidR="00142959" w:rsidRPr="005C48C9" w:rsidRDefault="00142959" w:rsidP="00142959">
      <w:pPr>
        <w:numPr>
          <w:ilvl w:val="0"/>
          <w:numId w:val="2"/>
        </w:numPr>
        <w:spacing w:after="240"/>
        <w:jc w:val="both"/>
        <w:rPr>
          <w:color w:val="auto"/>
          <w:sz w:val="22"/>
          <w:lang w:val="fr-BE"/>
        </w:rPr>
      </w:pPr>
      <w:r w:rsidRPr="005C48C9">
        <w:rPr>
          <w:color w:val="auto"/>
          <w:sz w:val="22"/>
          <w:lang w:val="fr-BE"/>
        </w:rPr>
        <w:t>Indiquer : Conformément à l’article 61§4 de l’AR du 15 juillet 2011, par le seul fait de la participation, le(s) candidat(s) (en cas de procédure restreinte) ou le(s) soumissionnaire(s) (procédure ouverte) attestent sur l’honneur ne pas se trouver dans un des cas d’exclusion visés aux § 1 et 2 de l’article 61 susvisé.</w:t>
      </w:r>
    </w:p>
    <w:p w:rsidR="00142959" w:rsidRPr="005C48C9" w:rsidRDefault="00142959" w:rsidP="00142959">
      <w:pPr>
        <w:numPr>
          <w:ilvl w:val="0"/>
          <w:numId w:val="2"/>
        </w:numPr>
        <w:spacing w:after="240"/>
        <w:jc w:val="both"/>
        <w:rPr>
          <w:i/>
          <w:color w:val="auto"/>
          <w:sz w:val="22"/>
          <w:lang w:val="fr-BE"/>
        </w:rPr>
      </w:pPr>
      <w:r w:rsidRPr="005C48C9">
        <w:rPr>
          <w:i/>
          <w:color w:val="auto"/>
          <w:sz w:val="22"/>
          <w:lang w:val="fr-BE"/>
        </w:rPr>
        <w:t xml:space="preserve">Remarque : Conformément à l’avis de la Commission des Marchés publics, publié au </w:t>
      </w:r>
      <w:proofErr w:type="spellStart"/>
      <w:r w:rsidRPr="005C48C9">
        <w:rPr>
          <w:i/>
          <w:smallCaps/>
          <w:color w:val="auto"/>
          <w:sz w:val="22"/>
          <w:lang w:val="fr-BE"/>
        </w:rPr>
        <w:t>m.b</w:t>
      </w:r>
      <w:proofErr w:type="spellEnd"/>
      <w:r w:rsidRPr="005C48C9">
        <w:rPr>
          <w:i/>
          <w:color w:val="auto"/>
          <w:sz w:val="22"/>
          <w:lang w:val="fr-BE"/>
        </w:rPr>
        <w:t>. du 1</w:t>
      </w:r>
      <w:r w:rsidRPr="005C48C9">
        <w:rPr>
          <w:i/>
          <w:color w:val="auto"/>
          <w:sz w:val="22"/>
          <w:vertAlign w:val="superscript"/>
          <w:lang w:val="fr-BE"/>
        </w:rPr>
        <w:t>er</w:t>
      </w:r>
      <w:r w:rsidRPr="005C48C9">
        <w:rPr>
          <w:i/>
          <w:color w:val="auto"/>
          <w:sz w:val="22"/>
          <w:lang w:val="fr-BE"/>
        </w:rPr>
        <w:t xml:space="preserve"> août 2008 et suite à l’entrée en vigueur le 18 août 2008 de l’article 11 de l’arrêté royal du 31 juillet 2008 (</w:t>
      </w:r>
      <w:proofErr w:type="spellStart"/>
      <w:r w:rsidRPr="005C48C9">
        <w:rPr>
          <w:i/>
          <w:smallCaps/>
          <w:color w:val="auto"/>
          <w:sz w:val="22"/>
          <w:lang w:val="fr-BE"/>
        </w:rPr>
        <w:t>m.b</w:t>
      </w:r>
      <w:proofErr w:type="spellEnd"/>
      <w:r w:rsidRPr="005C48C9">
        <w:rPr>
          <w:i/>
          <w:color w:val="auto"/>
          <w:sz w:val="22"/>
          <w:lang w:val="fr-BE"/>
        </w:rPr>
        <w:t>. du 18 août 2008), il n’y a plus lieu d’exiger l’enregistrement des entrepreneurs ni comme critère de sélection qualitative, ni comme condition de régularité de l’offre.</w:t>
      </w:r>
    </w:p>
    <w:p w:rsidR="00142959" w:rsidRPr="005C48C9" w:rsidRDefault="00142959" w:rsidP="00142959">
      <w:pPr>
        <w:numPr>
          <w:ilvl w:val="0"/>
          <w:numId w:val="2"/>
        </w:numPr>
        <w:spacing w:after="240"/>
        <w:jc w:val="both"/>
        <w:rPr>
          <w:b/>
          <w:i/>
          <w:color w:val="auto"/>
          <w:sz w:val="22"/>
          <w:lang w:val="fr-BE"/>
        </w:rPr>
      </w:pPr>
      <w:r w:rsidRPr="005C48C9">
        <w:rPr>
          <w:b/>
          <w:color w:val="auto"/>
          <w:sz w:val="22"/>
          <w:lang w:val="fr-BE"/>
        </w:rPr>
        <w:t>III.2.2) Capacité économique et financière</w:t>
      </w:r>
    </w:p>
    <w:p w:rsidR="00142959" w:rsidRPr="005C48C9" w:rsidRDefault="00142959" w:rsidP="00142959">
      <w:pPr>
        <w:numPr>
          <w:ilvl w:val="0"/>
          <w:numId w:val="2"/>
        </w:numPr>
        <w:spacing w:after="240"/>
        <w:jc w:val="both"/>
        <w:rPr>
          <w:i/>
          <w:color w:val="auto"/>
          <w:sz w:val="22"/>
          <w:lang w:val="fr-BE"/>
        </w:rPr>
      </w:pPr>
      <w:r w:rsidRPr="005C48C9">
        <w:rPr>
          <w:i/>
          <w:color w:val="auto"/>
          <w:sz w:val="22"/>
          <w:lang w:val="fr-BE"/>
        </w:rPr>
        <w:t>Les critères et leur niveau d’exigence mentionnés le cas échéant doivent être liés et proportionnés à l’objet du marché. En procédure ouverte et en procédure négociée directe avec publicité, la fixation d’un niveau minimum est obligatoire (article 58§12° AR 15 juillet 2011)</w:t>
      </w:r>
    </w:p>
    <w:p w:rsidR="00142959" w:rsidRPr="005C48C9" w:rsidRDefault="00142959" w:rsidP="00142959">
      <w:pPr>
        <w:numPr>
          <w:ilvl w:val="0"/>
          <w:numId w:val="2"/>
        </w:numPr>
        <w:spacing w:after="240"/>
        <w:jc w:val="both"/>
        <w:rPr>
          <w:i/>
          <w:color w:val="auto"/>
          <w:sz w:val="22"/>
          <w:lang w:val="fr-BE"/>
        </w:rPr>
      </w:pPr>
      <w:r w:rsidRPr="005C48C9">
        <w:rPr>
          <w:i/>
          <w:color w:val="auto"/>
          <w:sz w:val="22"/>
          <w:lang w:val="fr-BE"/>
        </w:rPr>
        <w:t>Il y a lieu de se référer strictement aux critères repris sous l’article 67de l’AR 15 juillet 2011) sachant que ces critères ne sont pas exhaustifs.</w:t>
      </w:r>
    </w:p>
    <w:p w:rsidR="00142959" w:rsidRPr="005C48C9" w:rsidRDefault="00142959" w:rsidP="00142959">
      <w:pPr>
        <w:numPr>
          <w:ilvl w:val="0"/>
          <w:numId w:val="2"/>
        </w:numPr>
        <w:spacing w:after="240"/>
        <w:jc w:val="both"/>
        <w:rPr>
          <w:i/>
          <w:color w:val="auto"/>
          <w:sz w:val="22"/>
          <w:lang w:val="fr-BE"/>
        </w:rPr>
      </w:pPr>
      <w:r w:rsidRPr="005C48C9">
        <w:rPr>
          <w:i/>
          <w:color w:val="auto"/>
          <w:sz w:val="22"/>
          <w:lang w:val="fr-BE"/>
        </w:rPr>
        <w:t xml:space="preserve">En procédure négociée sans publicité, il n’est pas obligatoire de prévoir de tels critères. </w:t>
      </w:r>
    </w:p>
    <w:p w:rsidR="00142959" w:rsidRPr="005C48C9" w:rsidRDefault="00142959" w:rsidP="00142959">
      <w:pPr>
        <w:numPr>
          <w:ilvl w:val="0"/>
          <w:numId w:val="2"/>
        </w:numPr>
        <w:spacing w:after="240"/>
        <w:jc w:val="both"/>
        <w:rPr>
          <w:i/>
          <w:color w:val="auto"/>
          <w:sz w:val="22"/>
          <w:lang w:val="fr-BE"/>
        </w:rPr>
      </w:pPr>
      <w:r w:rsidRPr="005C48C9">
        <w:rPr>
          <w:b/>
          <w:color w:val="auto"/>
          <w:sz w:val="22"/>
          <w:lang w:val="fr-BE"/>
        </w:rPr>
        <w:t>III.2.3) Capacité technique</w:t>
      </w:r>
    </w:p>
    <w:p w:rsidR="00142959" w:rsidRPr="005C48C9" w:rsidRDefault="00142959" w:rsidP="00142959">
      <w:pPr>
        <w:numPr>
          <w:ilvl w:val="0"/>
          <w:numId w:val="2"/>
        </w:numPr>
        <w:spacing w:after="240"/>
        <w:jc w:val="both"/>
        <w:rPr>
          <w:i/>
          <w:color w:val="auto"/>
          <w:sz w:val="22"/>
          <w:lang w:val="fr-BE"/>
        </w:rPr>
      </w:pPr>
      <w:r w:rsidRPr="005C48C9">
        <w:rPr>
          <w:i/>
          <w:color w:val="auto"/>
          <w:sz w:val="22"/>
          <w:lang w:val="fr-BE"/>
        </w:rPr>
        <w:t>Les critères et leur niveau d’exigence mentionnés le cas échéant doivent être liés et proportionnés à l’objet du marché. En procédure ouverte et en procédure négociée directe avec publicité, la fixation d’un niveau minimum est obligatoire (article 58§12° AR 15 juillet 2011)</w:t>
      </w:r>
    </w:p>
    <w:p w:rsidR="00142959" w:rsidRPr="005C48C9" w:rsidRDefault="00142959" w:rsidP="00142959">
      <w:pPr>
        <w:numPr>
          <w:ilvl w:val="0"/>
          <w:numId w:val="2"/>
        </w:numPr>
        <w:spacing w:after="240"/>
        <w:jc w:val="both"/>
        <w:rPr>
          <w:b/>
          <w:i/>
          <w:color w:val="auto"/>
          <w:sz w:val="22"/>
          <w:lang w:val="fr-BE"/>
        </w:rPr>
      </w:pPr>
      <w:r w:rsidRPr="005C48C9">
        <w:rPr>
          <w:i/>
          <w:color w:val="auto"/>
          <w:sz w:val="22"/>
          <w:lang w:val="fr-BE"/>
        </w:rPr>
        <w:t>En cas de publicité européenne, il y a lieu de se référer strictement aux critères repris sous l’article 68, 69 et 70 de l’AR 15 juillet 2011)</w:t>
      </w:r>
    </w:p>
    <w:p w:rsidR="00D63262" w:rsidRDefault="00142959" w:rsidP="00142959">
      <w:pPr>
        <w:rPr>
          <w:i/>
          <w:color w:val="auto"/>
          <w:sz w:val="22"/>
          <w:lang w:val="fr-BE"/>
        </w:rPr>
      </w:pPr>
      <w:r w:rsidRPr="005C48C9">
        <w:rPr>
          <w:i/>
          <w:color w:val="auto"/>
          <w:sz w:val="22"/>
          <w:lang w:val="fr-BE"/>
        </w:rPr>
        <w:lastRenderedPageBreak/>
        <w:t>Pour les marchés de niveau de publicité belge, le pouvoir adjudicateur peut soit reprendre les critères prévus en cas de publicité européenne ou mentionner d’autres critères adéquats, pertinents et vérifiables</w:t>
      </w:r>
    </w:p>
    <w:p w:rsidR="00142959" w:rsidRDefault="00142959" w:rsidP="00142959">
      <w:pPr>
        <w:rPr>
          <w:i/>
          <w:color w:val="auto"/>
          <w:sz w:val="22"/>
          <w:lang w:val="fr-BE"/>
        </w:rPr>
      </w:pPr>
    </w:p>
    <w:p w:rsidR="00142959" w:rsidRPr="005C48C9" w:rsidRDefault="00142959" w:rsidP="00142959">
      <w:pPr>
        <w:numPr>
          <w:ilvl w:val="0"/>
          <w:numId w:val="3"/>
        </w:numPr>
        <w:spacing w:before="120" w:after="120" w:line="240" w:lineRule="auto"/>
        <w:ind w:left="357" w:hanging="357"/>
        <w:jc w:val="both"/>
        <w:rPr>
          <w:color w:val="auto"/>
          <w:sz w:val="22"/>
          <w:u w:val="single"/>
          <w:lang w:val="fr-BE"/>
        </w:rPr>
      </w:pPr>
      <w:r w:rsidRPr="005C48C9">
        <w:rPr>
          <w:i/>
          <w:color w:val="auto"/>
          <w:sz w:val="22"/>
          <w:u w:val="single"/>
          <w:lang w:val="fr-BE"/>
        </w:rPr>
        <w:t>A noter que les critères de sélection (financiers, économiques et techniques) peuvent se résumer à l’agréation. Ce critère sera libellé comme suit: « satisfaire aux exigences de l’agréation en classe et catégorie dans le respect de l’article 5 de la loi sur l’agréation. Cette mention est reprise aux points III.2.2 et III.2.3.</w:t>
      </w:r>
    </w:p>
    <w:p w:rsidR="00142959" w:rsidRPr="005C48C9" w:rsidRDefault="00142959" w:rsidP="00142959">
      <w:pPr>
        <w:pBdr>
          <w:bottom w:val="single" w:sz="2" w:space="1" w:color="auto"/>
        </w:pBdr>
        <w:spacing w:before="240" w:after="240"/>
        <w:ind w:left="1701" w:right="1701"/>
        <w:jc w:val="both"/>
        <w:rPr>
          <w:color w:val="auto"/>
          <w:sz w:val="22"/>
          <w:lang w:val="fr-BE"/>
        </w:rPr>
      </w:pPr>
    </w:p>
    <w:p w:rsidR="00142959" w:rsidRDefault="00142959" w:rsidP="00142959"/>
    <w:sectPr w:rsidR="00142959" w:rsidSect="00652158">
      <w:headerReference w:type="default"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5C" w:rsidRDefault="009D5D5C">
      <w:r>
        <w:separator/>
      </w:r>
    </w:p>
  </w:endnote>
  <w:endnote w:type="continuationSeparator" w:id="0">
    <w:p w:rsidR="009D5D5C" w:rsidRDefault="009D5D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E5" w:rsidRDefault="007419E5">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5C" w:rsidRDefault="009D5D5C">
      <w:r>
        <w:separator/>
      </w:r>
    </w:p>
  </w:footnote>
  <w:footnote w:type="continuationSeparator" w:id="0">
    <w:p w:rsidR="009D5D5C" w:rsidRDefault="009D5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E5" w:rsidRDefault="007419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DE6CD6"/>
    <w:lvl w:ilvl="0">
      <w:start w:val="1"/>
      <w:numFmt w:val="bullet"/>
      <w:lvlText w:val=""/>
      <w:lvlJc w:val="left"/>
      <w:pPr>
        <w:tabs>
          <w:tab w:val="num" w:pos="360"/>
        </w:tabs>
        <w:ind w:left="360" w:hanging="360"/>
      </w:pPr>
      <w:rPr>
        <w:rFonts w:ascii="Symbol" w:hAnsi="Symbol" w:hint="default"/>
      </w:rPr>
    </w:lvl>
  </w:abstractNum>
  <w:abstractNum w:abstractNumId="1">
    <w:nsid w:val="0D826BE0"/>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2">
    <w:nsid w:val="4DBE47A3"/>
    <w:multiLevelType w:val="singleLevel"/>
    <w:tmpl w:val="250450A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5D5C"/>
    <w:rsid w:val="00023F0E"/>
    <w:rsid w:val="00075503"/>
    <w:rsid w:val="0008091E"/>
    <w:rsid w:val="00142959"/>
    <w:rsid w:val="001519A7"/>
    <w:rsid w:val="001E5AA0"/>
    <w:rsid w:val="001E768F"/>
    <w:rsid w:val="0027251A"/>
    <w:rsid w:val="00293205"/>
    <w:rsid w:val="003363B1"/>
    <w:rsid w:val="003A23D0"/>
    <w:rsid w:val="00403B47"/>
    <w:rsid w:val="004358B4"/>
    <w:rsid w:val="00451C54"/>
    <w:rsid w:val="00477BCC"/>
    <w:rsid w:val="004C619A"/>
    <w:rsid w:val="00652158"/>
    <w:rsid w:val="007419E5"/>
    <w:rsid w:val="00872235"/>
    <w:rsid w:val="008847D3"/>
    <w:rsid w:val="00887A2F"/>
    <w:rsid w:val="008F5BFB"/>
    <w:rsid w:val="0091739A"/>
    <w:rsid w:val="00932AD7"/>
    <w:rsid w:val="00953014"/>
    <w:rsid w:val="00961EFB"/>
    <w:rsid w:val="009A6FA2"/>
    <w:rsid w:val="009D5D5C"/>
    <w:rsid w:val="009E29C0"/>
    <w:rsid w:val="00A52FA1"/>
    <w:rsid w:val="00AA5125"/>
    <w:rsid w:val="00B756CB"/>
    <w:rsid w:val="00BB501C"/>
    <w:rsid w:val="00C34281"/>
    <w:rsid w:val="00CA2562"/>
    <w:rsid w:val="00CA6A1C"/>
    <w:rsid w:val="00D26CF0"/>
    <w:rsid w:val="00D5737A"/>
    <w:rsid w:val="00D63262"/>
    <w:rsid w:val="00D975C3"/>
    <w:rsid w:val="00E63032"/>
    <w:rsid w:val="00EC54DB"/>
    <w:rsid w:val="00F276D2"/>
    <w:rsid w:val="00F336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59"/>
    <w:pPr>
      <w:spacing w:line="312" w:lineRule="exact"/>
    </w:pPr>
    <w:rPr>
      <w:color w:val="00FFFF"/>
      <w:sz w:val="24"/>
      <w:szCs w:val="24"/>
      <w:lang w:val="fr-FR"/>
    </w:rPr>
  </w:style>
  <w:style w:type="paragraph" w:styleId="Titre1">
    <w:name w:val="heading 1"/>
    <w:basedOn w:val="Normal"/>
    <w:next w:val="Normal"/>
    <w:qFormat/>
    <w:rsid w:val="00652158"/>
    <w:pPr>
      <w:spacing w:before="240"/>
      <w:ind w:left="708" w:hanging="708"/>
      <w:outlineLvl w:val="0"/>
    </w:pPr>
    <w:rPr>
      <w:b/>
      <w:caps/>
      <w:spacing w:val="5"/>
      <w:u w:val="single"/>
    </w:rPr>
  </w:style>
  <w:style w:type="paragraph" w:styleId="Titre2">
    <w:name w:val="heading 2"/>
    <w:basedOn w:val="Normal"/>
    <w:next w:val="Normal"/>
    <w:qFormat/>
    <w:rsid w:val="00652158"/>
    <w:pPr>
      <w:spacing w:before="240"/>
      <w:ind w:left="992" w:hanging="567"/>
      <w:outlineLvl w:val="1"/>
    </w:pPr>
    <w:rPr>
      <w:b/>
      <w:spacing w:val="5"/>
      <w:u w:val="single"/>
    </w:rPr>
  </w:style>
  <w:style w:type="paragraph" w:styleId="Titre3">
    <w:name w:val="heading 3"/>
    <w:basedOn w:val="Normal"/>
    <w:next w:val="Normal"/>
    <w:qFormat/>
    <w:rsid w:val="00652158"/>
    <w:pPr>
      <w:spacing w:before="240"/>
      <w:ind w:left="1701" w:hanging="709"/>
      <w:outlineLvl w:val="2"/>
    </w:pPr>
    <w:rPr>
      <w:u w:val="single"/>
    </w:rPr>
  </w:style>
  <w:style w:type="paragraph" w:styleId="Titre4">
    <w:name w:val="heading 4"/>
    <w:basedOn w:val="Normal"/>
    <w:next w:val="Normal"/>
    <w:qFormat/>
    <w:rsid w:val="00652158"/>
    <w:pPr>
      <w:spacing w:before="240"/>
      <w:ind w:left="2552" w:hanging="851"/>
      <w:outlineLvl w:val="3"/>
    </w:pPr>
    <w:rPr>
      <w:u w:val="dotted"/>
    </w:rPr>
  </w:style>
  <w:style w:type="paragraph" w:styleId="Titre5">
    <w:name w:val="heading 5"/>
    <w:basedOn w:val="Normal"/>
    <w:next w:val="Normal"/>
    <w:qFormat/>
    <w:rsid w:val="00652158"/>
    <w:pPr>
      <w:spacing w:before="240" w:after="60"/>
      <w:ind w:left="3544" w:hanging="992"/>
      <w:outlineLvl w:val="4"/>
    </w:pPr>
  </w:style>
  <w:style w:type="paragraph" w:styleId="Titre6">
    <w:name w:val="heading 6"/>
    <w:basedOn w:val="Normal"/>
    <w:next w:val="Normal"/>
    <w:qFormat/>
    <w:rsid w:val="00652158"/>
    <w:pPr>
      <w:spacing w:before="240" w:after="60"/>
      <w:jc w:val="center"/>
      <w:outlineLvl w:val="5"/>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652158"/>
    <w:pPr>
      <w:keepLines/>
      <w:ind w:left="4536"/>
    </w:pPr>
    <w:rPr>
      <w:rFonts w:ascii="Arial" w:hAnsi="Arial"/>
      <w:noProof/>
      <w:sz w:val="22"/>
      <w:lang w:eastAsia="en-US"/>
    </w:rPr>
  </w:style>
  <w:style w:type="paragraph" w:styleId="En-tte">
    <w:name w:val="header"/>
    <w:basedOn w:val="Normal"/>
    <w:rsid w:val="00652158"/>
    <w:pPr>
      <w:tabs>
        <w:tab w:val="center" w:pos="4820"/>
        <w:tab w:val="right" w:pos="9639"/>
      </w:tabs>
      <w:jc w:val="both"/>
    </w:pPr>
    <w:rPr>
      <w:sz w:val="26"/>
    </w:rPr>
  </w:style>
  <w:style w:type="paragraph" w:styleId="Listepuces">
    <w:name w:val="List Bullet"/>
    <w:basedOn w:val="Normal"/>
    <w:autoRedefine/>
    <w:rsid w:val="00652158"/>
    <w:pPr>
      <w:ind w:left="283" w:hanging="283"/>
      <w:jc w:val="both"/>
    </w:pPr>
    <w:rPr>
      <w:sz w:val="26"/>
    </w:rPr>
  </w:style>
  <w:style w:type="paragraph" w:customStyle="1" w:styleId="Normal1">
    <w:name w:val="Normal 1"/>
    <w:basedOn w:val="Normal"/>
    <w:rsid w:val="00652158"/>
    <w:pPr>
      <w:ind w:left="426"/>
    </w:pPr>
  </w:style>
  <w:style w:type="paragraph" w:customStyle="1" w:styleId="Normal2">
    <w:name w:val="Normal 2"/>
    <w:basedOn w:val="Normal"/>
    <w:rsid w:val="00652158"/>
    <w:pPr>
      <w:ind w:left="993"/>
    </w:pPr>
  </w:style>
  <w:style w:type="paragraph" w:customStyle="1" w:styleId="Normal3">
    <w:name w:val="Normal 3"/>
    <w:basedOn w:val="Normal"/>
    <w:rsid w:val="00652158"/>
    <w:pPr>
      <w:ind w:left="1701"/>
    </w:pPr>
  </w:style>
  <w:style w:type="paragraph" w:customStyle="1" w:styleId="Normal4">
    <w:name w:val="Normal 4"/>
    <w:basedOn w:val="Normal"/>
    <w:rsid w:val="00652158"/>
    <w:pPr>
      <w:ind w:left="2694"/>
    </w:pPr>
  </w:style>
  <w:style w:type="paragraph" w:customStyle="1" w:styleId="Normal5">
    <w:name w:val="Normal 5"/>
    <w:basedOn w:val="Normal"/>
    <w:rsid w:val="00652158"/>
    <w:pPr>
      <w:ind w:left="3828"/>
    </w:pPr>
  </w:style>
  <w:style w:type="paragraph" w:styleId="Pieddepage">
    <w:name w:val="footer"/>
    <w:basedOn w:val="Normal"/>
    <w:rsid w:val="00652158"/>
    <w:pPr>
      <w:tabs>
        <w:tab w:val="center" w:pos="4820"/>
        <w:tab w:val="right" w:pos="9639"/>
      </w:tabs>
    </w:pPr>
    <w:rPr>
      <w:sz w:val="20"/>
    </w:rPr>
  </w:style>
  <w:style w:type="paragraph" w:styleId="Textedemacro">
    <w:name w:val="macro"/>
    <w:semiHidden/>
    <w:rsid w:val="00652158"/>
    <w:pPr>
      <w:tabs>
        <w:tab w:val="left" w:pos="397"/>
        <w:tab w:val="left" w:pos="794"/>
        <w:tab w:val="left" w:pos="1191"/>
        <w:tab w:val="left" w:pos="1588"/>
        <w:tab w:val="left" w:pos="1985"/>
        <w:tab w:val="left" w:pos="2381"/>
        <w:tab w:val="left" w:pos="2778"/>
      </w:tabs>
      <w:ind w:left="3175" w:hanging="3175"/>
    </w:pPr>
    <w:rPr>
      <w:rFonts w:ascii="Courier New" w:hAnsi="Courier New"/>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2358</Characters>
  <Application>Microsoft Office Word</Application>
  <DocSecurity>0</DocSecurity>
  <Lines>19</Lines>
  <Paragraphs>5</Paragraphs>
  <ScaleCrop>false</ScaleCrop>
  <Company>Service Public de Wallonie</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15200</dc:creator>
  <cp:keywords/>
  <dc:description/>
  <cp:lastModifiedBy>15200</cp:lastModifiedBy>
  <cp:revision>1</cp:revision>
  <dcterms:created xsi:type="dcterms:W3CDTF">2013-11-25T10:36:00Z</dcterms:created>
  <dcterms:modified xsi:type="dcterms:W3CDTF">2013-11-25T10:37:00Z</dcterms:modified>
</cp:coreProperties>
</file>